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FF"/>
  <w:body>
    <w:p w:rsidR="00AB11F3" w:rsidRPr="00945DC2" w:rsidRDefault="00AB11F3" w:rsidP="00AB11F3">
      <w:pPr>
        <w:jc w:val="center"/>
        <w:rPr>
          <w:rFonts w:ascii="華康童童體(P)" w:eastAsia="華康童童體(P)"/>
          <w:color w:val="FF99FF"/>
          <w:sz w:val="72"/>
          <w:szCs w:val="72"/>
        </w:rPr>
      </w:pPr>
      <w:r w:rsidRPr="00945DC2">
        <w:rPr>
          <w:rFonts w:ascii="華康童童體(P)" w:eastAsia="華康童童體(P)" w:hint="eastAsia"/>
          <w:color w:val="FF99FF"/>
          <w:sz w:val="72"/>
          <w:szCs w:val="72"/>
        </w:rPr>
        <w:t>水生植物</w:t>
      </w:r>
      <w:proofErr w:type="gramStart"/>
      <w:r w:rsidRPr="00945DC2">
        <w:rPr>
          <w:rFonts w:ascii="華康童童體(P)" w:eastAsia="華康童童體(P)" w:hint="eastAsia"/>
          <w:color w:val="FF99FF"/>
          <w:sz w:val="72"/>
          <w:szCs w:val="72"/>
        </w:rPr>
        <w:t>–</w:t>
      </w:r>
      <w:proofErr w:type="gramEnd"/>
      <w:r w:rsidRPr="00945DC2">
        <w:rPr>
          <w:rFonts w:ascii="華康童童體(P)" w:eastAsia="華康童童體(P)" w:hint="eastAsia"/>
          <w:color w:val="FF99FF"/>
          <w:sz w:val="72"/>
          <w:szCs w:val="72"/>
        </w:rPr>
        <w:t>水蘊草</w:t>
      </w:r>
    </w:p>
    <w:p w:rsidR="00AB11F3" w:rsidRPr="00945DC2" w:rsidRDefault="00B76902" w:rsidP="00945DC2">
      <w:pPr>
        <w:jc w:val="center"/>
        <w:rPr>
          <w:rFonts w:ascii="華康少女文字W5" w:eastAsia="華康少女文字W5"/>
          <w:color w:val="CC66FF"/>
          <w:sz w:val="44"/>
          <w:szCs w:val="44"/>
        </w:rPr>
      </w:pPr>
      <w:r>
        <w:rPr>
          <w:rFonts w:ascii="華康少女文字W5" w:eastAsia="華康少女文字W5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1228725</wp:posOffset>
            </wp:positionH>
            <wp:positionV relativeFrom="paragraph">
              <wp:posOffset>438150</wp:posOffset>
            </wp:positionV>
            <wp:extent cx="2838450" cy="36195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atophyllum_demersum[2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1F3" w:rsidRPr="00945DC2">
        <w:rPr>
          <w:rFonts w:ascii="華康少女文字W5" w:eastAsia="華康少女文字W5" w:hint="eastAsia"/>
          <w:color w:val="CC66FF"/>
          <w:sz w:val="44"/>
          <w:szCs w:val="44"/>
        </w:rPr>
        <w:t>四年丙班22號張詠晴</w:t>
      </w:r>
    </w:p>
    <w:p w:rsidR="00945DC2" w:rsidRDefault="00945DC2">
      <w:pPr>
        <w:rPr>
          <w:rFonts w:ascii="華康少女文字W5" w:eastAsia="華康少女文字W5"/>
          <w:sz w:val="56"/>
          <w:szCs w:val="56"/>
        </w:rPr>
      </w:pPr>
    </w:p>
    <w:p w:rsidR="00945DC2" w:rsidRPr="00945DC2" w:rsidRDefault="00945DC2" w:rsidP="00945DC2">
      <w:pPr>
        <w:rPr>
          <w:rFonts w:ascii="華康少女文字W5" w:eastAsia="華康少女文字W5"/>
          <w:sz w:val="56"/>
          <w:szCs w:val="56"/>
        </w:rPr>
      </w:pPr>
    </w:p>
    <w:p w:rsidR="00945DC2" w:rsidRPr="00945DC2" w:rsidRDefault="00945DC2" w:rsidP="00945DC2">
      <w:pPr>
        <w:rPr>
          <w:rFonts w:ascii="華康少女文字W5" w:eastAsia="華康少女文字W5"/>
          <w:sz w:val="56"/>
          <w:szCs w:val="56"/>
        </w:rPr>
      </w:pPr>
    </w:p>
    <w:p w:rsidR="00945DC2" w:rsidRPr="00945DC2" w:rsidRDefault="00945DC2" w:rsidP="00945DC2">
      <w:pPr>
        <w:rPr>
          <w:rFonts w:ascii="華康少女文字W5" w:eastAsia="華康少女文字W5"/>
          <w:sz w:val="56"/>
          <w:szCs w:val="56"/>
        </w:rPr>
      </w:pPr>
    </w:p>
    <w:p w:rsidR="00945DC2" w:rsidRPr="00945DC2" w:rsidRDefault="00945DC2" w:rsidP="00945DC2">
      <w:pPr>
        <w:rPr>
          <w:rFonts w:ascii="華康少女文字W5" w:eastAsia="華康少女文字W5"/>
          <w:sz w:val="56"/>
          <w:szCs w:val="56"/>
        </w:rPr>
      </w:pPr>
    </w:p>
    <w:p w:rsidR="00B76902" w:rsidRPr="000E7C96" w:rsidRDefault="00B76902" w:rsidP="00B76902">
      <w:pPr>
        <w:rPr>
          <w:rFonts w:ascii="華康童童體(P)" w:eastAsia="華康童童體(P)"/>
          <w:color w:val="FF6699"/>
          <w:sz w:val="36"/>
          <w:szCs w:val="36"/>
        </w:rPr>
      </w:pPr>
      <w:r w:rsidRPr="000E7C96">
        <w:rPr>
          <w:rFonts w:ascii="華康童童體(P)" w:eastAsia="華康童童體(P)" w:hint="eastAsia"/>
          <w:color w:val="FF6699"/>
          <w:sz w:val="36"/>
          <w:szCs w:val="36"/>
        </w:rPr>
        <w:t>1.外型特徵：</w:t>
      </w:r>
    </w:p>
    <w:p w:rsidR="00B76902" w:rsidRPr="00DF362F" w:rsidRDefault="00B76902" w:rsidP="00B76902">
      <w:pPr>
        <w:rPr>
          <w:rFonts w:ascii="華康童童體(P)" w:eastAsia="華康童童體(P)"/>
          <w:color w:val="00B0F0"/>
          <w:sz w:val="32"/>
          <w:szCs w:val="32"/>
        </w:rPr>
      </w:pPr>
      <w:r>
        <w:rPr>
          <w:rFonts w:ascii="華康童童體(P)" w:eastAsia="華康童童體(P)"/>
          <w:color w:val="00B0F0"/>
          <w:sz w:val="32"/>
          <w:szCs w:val="32"/>
        </w:rPr>
        <w:fldChar w:fldCharType="begin"/>
      </w:r>
      <w:r>
        <w:rPr>
          <w:rFonts w:ascii="華康童童體(P)" w:eastAsia="華康童童體(P)"/>
          <w:color w:val="00B0F0"/>
          <w:sz w:val="32"/>
          <w:szCs w:val="32"/>
        </w:rPr>
        <w:instrText xml:space="preserve"> </w:instrText>
      </w:r>
      <w:r>
        <w:rPr>
          <w:rFonts w:ascii="華康童童體(P)" w:eastAsia="華康童童體(P)" w:hint="eastAsia"/>
          <w:color w:val="00B0F0"/>
          <w:sz w:val="32"/>
          <w:szCs w:val="32"/>
        </w:rPr>
        <w:instrText>eq \o\ac(○,</w:instrText>
      </w:r>
      <w:r w:rsidRPr="000E7C96">
        <w:rPr>
          <w:rFonts w:ascii="Calibri" w:eastAsia="華康童童體(P)" w:hint="eastAsia"/>
          <w:color w:val="00B0F0"/>
          <w:position w:val="4"/>
          <w:sz w:val="22"/>
          <w:szCs w:val="32"/>
        </w:rPr>
        <w:instrText>1</w:instrText>
      </w:r>
      <w:r>
        <w:rPr>
          <w:rFonts w:ascii="華康童童體(P)" w:eastAsia="華康童童體(P)" w:hint="eastAsia"/>
          <w:color w:val="00B0F0"/>
          <w:sz w:val="32"/>
          <w:szCs w:val="32"/>
        </w:rPr>
        <w:instrText>)</w:instrText>
      </w:r>
      <w:r>
        <w:rPr>
          <w:rFonts w:ascii="華康童童體(P)" w:eastAsia="華康童童體(P)"/>
          <w:color w:val="00B0F0"/>
          <w:sz w:val="32"/>
          <w:szCs w:val="32"/>
        </w:rPr>
        <w:fldChar w:fldCharType="end"/>
      </w:r>
      <w:r w:rsidRPr="00DF362F">
        <w:rPr>
          <w:rFonts w:ascii="華康童童體(P)" w:eastAsia="華康童童體(P)" w:hint="eastAsia"/>
          <w:color w:val="00B0F0"/>
          <w:sz w:val="32"/>
          <w:szCs w:val="32"/>
        </w:rPr>
        <w:t>根部會</w:t>
      </w:r>
      <w:proofErr w:type="gramStart"/>
      <w:r w:rsidRPr="00DF362F">
        <w:rPr>
          <w:rFonts w:ascii="華康童童體(P)" w:eastAsia="華康童童體(P)" w:hint="eastAsia"/>
          <w:color w:val="00B0F0"/>
          <w:sz w:val="32"/>
          <w:szCs w:val="32"/>
        </w:rPr>
        <w:t>緊緊插在泥土</w:t>
      </w:r>
      <w:proofErr w:type="gramEnd"/>
      <w:r w:rsidRPr="00DF362F">
        <w:rPr>
          <w:rFonts w:ascii="華康童童體(P)" w:eastAsia="華康童童體(P)" w:hint="eastAsia"/>
          <w:color w:val="00B0F0"/>
          <w:sz w:val="32"/>
          <w:szCs w:val="32"/>
        </w:rPr>
        <w:t>裡，</w:t>
      </w:r>
      <w:proofErr w:type="gramStart"/>
      <w:r w:rsidRPr="00DF362F">
        <w:rPr>
          <w:rFonts w:ascii="華康童童體(P)" w:eastAsia="華康童童體(P)" w:hint="eastAsia"/>
          <w:color w:val="00B0F0"/>
          <w:sz w:val="32"/>
          <w:szCs w:val="32"/>
        </w:rPr>
        <w:t>其莖並不</w:t>
      </w:r>
      <w:proofErr w:type="gramEnd"/>
      <w:r w:rsidRPr="00DF362F">
        <w:rPr>
          <w:rFonts w:ascii="華康童童體(P)" w:eastAsia="華康童童體(P)" w:hint="eastAsia"/>
          <w:color w:val="00B0F0"/>
          <w:sz w:val="32"/>
          <w:szCs w:val="32"/>
        </w:rPr>
        <w:t>會露出水面，因此屬於</w:t>
      </w:r>
      <w:proofErr w:type="gramStart"/>
      <w:r w:rsidRPr="00DF362F">
        <w:rPr>
          <w:rFonts w:ascii="華康童童體(P)" w:eastAsia="華康童童體(P)" w:hint="eastAsia"/>
          <w:color w:val="00B0F0"/>
          <w:sz w:val="32"/>
          <w:szCs w:val="32"/>
        </w:rPr>
        <w:t>沉</w:t>
      </w:r>
      <w:proofErr w:type="gramEnd"/>
      <w:r w:rsidRPr="00DF362F">
        <w:rPr>
          <w:rFonts w:ascii="華康童童體(P)" w:eastAsia="華康童童體(P)" w:hint="eastAsia"/>
          <w:color w:val="00B0F0"/>
          <w:sz w:val="32"/>
          <w:szCs w:val="32"/>
        </w:rPr>
        <w:t>水性水生植物。</w:t>
      </w:r>
    </w:p>
    <w:p w:rsidR="00B76902" w:rsidRPr="00DF362F" w:rsidRDefault="00B76902" w:rsidP="00B76902">
      <w:pPr>
        <w:rPr>
          <w:rFonts w:ascii="華康童童體(P)" w:eastAsia="華康童童體(P)"/>
          <w:color w:val="00B0F0"/>
          <w:sz w:val="32"/>
          <w:szCs w:val="32"/>
        </w:rPr>
      </w:pPr>
      <w:r>
        <w:rPr>
          <w:rFonts w:ascii="華康童童體(P)" w:eastAsia="華康童童體(P)"/>
          <w:color w:val="00B0F0"/>
          <w:sz w:val="32"/>
          <w:szCs w:val="32"/>
        </w:rPr>
        <w:fldChar w:fldCharType="begin"/>
      </w:r>
      <w:r>
        <w:rPr>
          <w:rFonts w:ascii="華康童童體(P)" w:eastAsia="華康童童體(P)"/>
          <w:color w:val="00B0F0"/>
          <w:sz w:val="32"/>
          <w:szCs w:val="32"/>
        </w:rPr>
        <w:instrText xml:space="preserve"> </w:instrText>
      </w:r>
      <w:r>
        <w:rPr>
          <w:rFonts w:ascii="華康童童體(P)" w:eastAsia="華康童童體(P)" w:hint="eastAsia"/>
          <w:color w:val="00B0F0"/>
          <w:sz w:val="32"/>
          <w:szCs w:val="32"/>
        </w:rPr>
        <w:instrText>eq \o\ac(○,</w:instrText>
      </w:r>
      <w:r w:rsidRPr="000E7C96">
        <w:rPr>
          <w:rFonts w:ascii="Calibri" w:eastAsia="華康童童體(P)" w:hint="eastAsia"/>
          <w:color w:val="00B0F0"/>
          <w:position w:val="4"/>
          <w:sz w:val="22"/>
          <w:szCs w:val="32"/>
        </w:rPr>
        <w:instrText>2</w:instrText>
      </w:r>
      <w:r>
        <w:rPr>
          <w:rFonts w:ascii="華康童童體(P)" w:eastAsia="華康童童體(P)" w:hint="eastAsia"/>
          <w:color w:val="00B0F0"/>
          <w:sz w:val="32"/>
          <w:szCs w:val="32"/>
        </w:rPr>
        <w:instrText>)</w:instrText>
      </w:r>
      <w:r>
        <w:rPr>
          <w:rFonts w:ascii="華康童童體(P)" w:eastAsia="華康童童體(P)"/>
          <w:color w:val="00B0F0"/>
          <w:sz w:val="32"/>
          <w:szCs w:val="32"/>
        </w:rPr>
        <w:fldChar w:fldCharType="end"/>
      </w:r>
      <w:r w:rsidRPr="00DF362F">
        <w:rPr>
          <w:rFonts w:ascii="華康童童體(P)" w:eastAsia="華康童童體(P)" w:hint="eastAsia"/>
          <w:color w:val="00B0F0"/>
          <w:sz w:val="32"/>
          <w:szCs w:val="32"/>
        </w:rPr>
        <w:t>莖幹有分節，總長可以長達2公尺</w:t>
      </w:r>
    </w:p>
    <w:p w:rsidR="00B76902" w:rsidRPr="00DF362F" w:rsidRDefault="00B76902" w:rsidP="00B76902">
      <w:pPr>
        <w:rPr>
          <w:rFonts w:ascii="華康童童體(P)" w:eastAsia="華康童童體(P)"/>
          <w:color w:val="00B0F0"/>
          <w:sz w:val="32"/>
          <w:szCs w:val="32"/>
        </w:rPr>
      </w:pPr>
      <w:r>
        <w:rPr>
          <w:rFonts w:ascii="華康童童體(P)" w:eastAsia="華康童童體(P)"/>
          <w:color w:val="00B0F0"/>
          <w:sz w:val="32"/>
          <w:szCs w:val="32"/>
        </w:rPr>
        <w:fldChar w:fldCharType="begin"/>
      </w:r>
      <w:r>
        <w:rPr>
          <w:rFonts w:ascii="華康童童體(P)" w:eastAsia="華康童童體(P)"/>
          <w:color w:val="00B0F0"/>
          <w:sz w:val="32"/>
          <w:szCs w:val="32"/>
        </w:rPr>
        <w:instrText xml:space="preserve"> </w:instrText>
      </w:r>
      <w:r>
        <w:rPr>
          <w:rFonts w:ascii="華康童童體(P)" w:eastAsia="華康童童體(P)" w:hint="eastAsia"/>
          <w:color w:val="00B0F0"/>
          <w:sz w:val="32"/>
          <w:szCs w:val="32"/>
        </w:rPr>
        <w:instrText>eq \o\ac(○,</w:instrText>
      </w:r>
      <w:r w:rsidRPr="000E7C96">
        <w:rPr>
          <w:rFonts w:ascii="Calibri" w:eastAsia="華康童童體(P)" w:hint="eastAsia"/>
          <w:color w:val="00B0F0"/>
          <w:position w:val="4"/>
          <w:sz w:val="22"/>
          <w:szCs w:val="32"/>
        </w:rPr>
        <w:instrText>3</w:instrText>
      </w:r>
      <w:r>
        <w:rPr>
          <w:rFonts w:ascii="華康童童體(P)" w:eastAsia="華康童童體(P)" w:hint="eastAsia"/>
          <w:color w:val="00B0F0"/>
          <w:sz w:val="32"/>
          <w:szCs w:val="32"/>
        </w:rPr>
        <w:instrText>)</w:instrText>
      </w:r>
      <w:r>
        <w:rPr>
          <w:rFonts w:ascii="華康童童體(P)" w:eastAsia="華康童童體(P)"/>
          <w:color w:val="00B0F0"/>
          <w:sz w:val="32"/>
          <w:szCs w:val="32"/>
        </w:rPr>
        <w:fldChar w:fldCharType="end"/>
      </w:r>
      <w:r w:rsidRPr="00DF362F">
        <w:rPr>
          <w:rFonts w:ascii="華康童童體(P)" w:eastAsia="華康童童體(P)" w:hint="eastAsia"/>
          <w:color w:val="00B0F0"/>
          <w:sz w:val="32"/>
          <w:szCs w:val="32"/>
        </w:rPr>
        <w:t>水蘊草的花直徑約1至2公分，有三片大片白色的花瓣</w:t>
      </w:r>
    </w:p>
    <w:p w:rsidR="00945DC2" w:rsidRDefault="00B76902" w:rsidP="00945DC2">
      <w:pPr>
        <w:rPr>
          <w:rFonts w:ascii="華康童童體(P)" w:eastAsia="華康童童體(P)"/>
          <w:color w:val="00B0F0"/>
          <w:sz w:val="32"/>
          <w:szCs w:val="32"/>
        </w:rPr>
      </w:pPr>
      <w:r w:rsidRPr="00F66092">
        <w:rPr>
          <w:rFonts w:ascii="華康童童體(P)" w:eastAsia="華康童童體(P)"/>
          <w:color w:val="FF6699"/>
          <w:sz w:val="36"/>
          <w:szCs w:val="36"/>
        </w:rPr>
        <w:t>2</w:t>
      </w:r>
      <w:r>
        <w:rPr>
          <w:rFonts w:ascii="華康童童體(P)" w:eastAsia="華康童童體(P)" w:hint="eastAsia"/>
          <w:color w:val="FF6699"/>
          <w:sz w:val="36"/>
          <w:szCs w:val="36"/>
        </w:rPr>
        <w:t>.</w:t>
      </w:r>
      <w:r w:rsidRPr="00F66092">
        <w:rPr>
          <w:rFonts w:ascii="華康童童體(P)" w:eastAsia="華康童童體(P)" w:hint="eastAsia"/>
          <w:color w:val="FF6699"/>
          <w:sz w:val="36"/>
          <w:szCs w:val="36"/>
        </w:rPr>
        <w:t>分布</w:t>
      </w:r>
      <w:r>
        <w:rPr>
          <w:rFonts w:ascii="華康童童體(P)" w:eastAsia="華康童童體(P)" w:hint="eastAsia"/>
          <w:color w:val="FF6699"/>
          <w:sz w:val="36"/>
          <w:szCs w:val="36"/>
        </w:rPr>
        <w:t>位置：</w:t>
      </w:r>
      <w:r>
        <w:rPr>
          <w:rFonts w:ascii="華康童童體(P)" w:eastAsia="華康童童體(P)" w:hint="eastAsia"/>
          <w:color w:val="00B0F0"/>
          <w:sz w:val="32"/>
          <w:szCs w:val="32"/>
        </w:rPr>
        <w:t>水蘊草在許多溫帶及亞熱帶的區域</w:t>
      </w:r>
      <w:r w:rsidRPr="00F66092">
        <w:rPr>
          <w:rFonts w:ascii="華康童童體(P)" w:eastAsia="華康童童體(P)" w:hint="eastAsia"/>
          <w:color w:val="00B0F0"/>
          <w:sz w:val="32"/>
          <w:szCs w:val="32"/>
        </w:rPr>
        <w:t>，且成為歐洲、南非、亞洲、澳洲、紐西蘭及北美等地的入侵物種</w:t>
      </w:r>
    </w:p>
    <w:p w:rsidR="00C678AA" w:rsidRPr="00C678AA" w:rsidRDefault="00B76902" w:rsidP="00C678AA">
      <w:pPr>
        <w:rPr>
          <w:rFonts w:ascii="華康童童體(P)" w:eastAsia="華康童童體(P)"/>
          <w:color w:val="00B0F0"/>
          <w:sz w:val="32"/>
          <w:szCs w:val="32"/>
        </w:rPr>
      </w:pPr>
      <w:r w:rsidRPr="00B76902">
        <w:rPr>
          <w:rFonts w:ascii="華康童童體(P)" w:eastAsia="華康童童體(P)" w:hint="eastAsia"/>
          <w:color w:val="FF6699"/>
          <w:sz w:val="36"/>
          <w:szCs w:val="36"/>
        </w:rPr>
        <w:t>3</w:t>
      </w:r>
      <w:r>
        <w:rPr>
          <w:rFonts w:ascii="華康童童體(P)" w:eastAsia="華康童童體(P)" w:hint="eastAsia"/>
          <w:color w:val="FF6699"/>
          <w:sz w:val="36"/>
          <w:szCs w:val="36"/>
        </w:rPr>
        <w:t>.特別的地方：</w:t>
      </w:r>
      <w:r w:rsidR="00C678AA" w:rsidRPr="00C678AA">
        <w:rPr>
          <w:rFonts w:ascii="華康童童體(P)" w:eastAsia="華康童童體(P)"/>
          <w:color w:val="00B0F0"/>
          <w:sz w:val="32"/>
          <w:szCs w:val="32"/>
        </w:rPr>
        <w:fldChar w:fldCharType="begin"/>
      </w:r>
      <w:r w:rsidR="00C678AA" w:rsidRPr="00C678AA">
        <w:rPr>
          <w:rFonts w:ascii="華康童童體(P)" w:eastAsia="華康童童體(P)"/>
          <w:color w:val="00B0F0"/>
          <w:sz w:val="32"/>
          <w:szCs w:val="32"/>
        </w:rPr>
        <w:instrText xml:space="preserve"> </w:instrText>
      </w:r>
      <w:r w:rsidR="00C678AA" w:rsidRPr="00C678AA">
        <w:rPr>
          <w:rFonts w:ascii="華康童童體(P)" w:eastAsia="華康童童體(P)" w:hint="eastAsia"/>
          <w:color w:val="00B0F0"/>
          <w:sz w:val="32"/>
          <w:szCs w:val="32"/>
        </w:rPr>
        <w:instrText>eq \o\ac(○,</w:instrText>
      </w:r>
      <w:r w:rsidR="00C678AA" w:rsidRPr="00C678AA">
        <w:rPr>
          <w:rFonts w:ascii="Calibri" w:eastAsia="華康童童體(P)" w:hint="eastAsia"/>
          <w:color w:val="00B0F0"/>
          <w:position w:val="5"/>
          <w:sz w:val="32"/>
          <w:szCs w:val="32"/>
        </w:rPr>
        <w:instrText>1</w:instrText>
      </w:r>
      <w:r w:rsidR="00C678AA" w:rsidRPr="00C678AA">
        <w:rPr>
          <w:rFonts w:ascii="華康童童體(P)" w:eastAsia="華康童童體(P)" w:hint="eastAsia"/>
          <w:color w:val="00B0F0"/>
          <w:sz w:val="32"/>
          <w:szCs w:val="32"/>
        </w:rPr>
        <w:instrText>)</w:instrText>
      </w:r>
      <w:r w:rsidR="00C678AA" w:rsidRPr="00C678AA">
        <w:rPr>
          <w:rFonts w:ascii="華康童童體(P)" w:eastAsia="華康童童體(P)"/>
          <w:color w:val="00B0F0"/>
          <w:sz w:val="32"/>
          <w:szCs w:val="32"/>
        </w:rPr>
        <w:fldChar w:fldCharType="end"/>
      </w:r>
      <w:r w:rsidRPr="00C678AA">
        <w:rPr>
          <w:rFonts w:ascii="華康童童體(P)" w:eastAsia="華康童童體(P)" w:hint="eastAsia"/>
          <w:color w:val="00B0F0"/>
          <w:sz w:val="32"/>
          <w:szCs w:val="32"/>
        </w:rPr>
        <w:t>有些地方無法購買到水蘊草</w:t>
      </w:r>
      <w:r w:rsidRPr="00B76902">
        <w:rPr>
          <w:rFonts w:ascii="華康童童體(P)" w:eastAsia="華康童童體(P)" w:hint="eastAsia"/>
          <w:color w:val="00B0F0"/>
          <w:sz w:val="36"/>
          <w:szCs w:val="36"/>
        </w:rPr>
        <w:t>。</w:t>
      </w:r>
      <w:r w:rsidR="00C678AA" w:rsidRPr="00C678AA">
        <w:rPr>
          <w:rFonts w:ascii="華康童童體(P)" w:eastAsia="華康童童體(P)"/>
          <w:color w:val="00B0F0"/>
          <w:sz w:val="32"/>
          <w:szCs w:val="32"/>
        </w:rPr>
        <w:fldChar w:fldCharType="begin"/>
      </w:r>
      <w:r w:rsidR="00C678AA" w:rsidRPr="00C678AA">
        <w:rPr>
          <w:rFonts w:ascii="華康童童體(P)" w:eastAsia="華康童童體(P)"/>
          <w:color w:val="00B0F0"/>
          <w:sz w:val="32"/>
          <w:szCs w:val="32"/>
        </w:rPr>
        <w:instrText xml:space="preserve"> </w:instrText>
      </w:r>
      <w:r w:rsidR="00C678AA" w:rsidRPr="00C678AA">
        <w:rPr>
          <w:rFonts w:ascii="華康童童體(P)" w:eastAsia="華康童童體(P)" w:hint="eastAsia"/>
          <w:color w:val="00B0F0"/>
          <w:sz w:val="32"/>
          <w:szCs w:val="32"/>
        </w:rPr>
        <w:instrText>eq \o\ac(○,</w:instrText>
      </w:r>
      <w:r w:rsidR="00C678AA" w:rsidRPr="00C678AA">
        <w:rPr>
          <w:rFonts w:ascii="Calibri" w:eastAsia="華康童童體(P)" w:hint="eastAsia"/>
          <w:color w:val="00B0F0"/>
          <w:position w:val="4"/>
          <w:sz w:val="32"/>
          <w:szCs w:val="32"/>
        </w:rPr>
        <w:instrText>2</w:instrText>
      </w:r>
      <w:r w:rsidR="00C678AA" w:rsidRPr="00C678AA">
        <w:rPr>
          <w:rFonts w:ascii="華康童童體(P)" w:eastAsia="華康童童體(P)" w:hint="eastAsia"/>
          <w:color w:val="00B0F0"/>
          <w:sz w:val="32"/>
          <w:szCs w:val="32"/>
        </w:rPr>
        <w:instrText>)</w:instrText>
      </w:r>
      <w:r w:rsidR="00C678AA" w:rsidRPr="00C678AA">
        <w:rPr>
          <w:rFonts w:ascii="華康童童體(P)" w:eastAsia="華康童童體(P)"/>
          <w:color w:val="00B0F0"/>
          <w:sz w:val="32"/>
          <w:szCs w:val="32"/>
        </w:rPr>
        <w:fldChar w:fldCharType="end"/>
      </w:r>
      <w:r w:rsidR="00C678AA" w:rsidRPr="00C678AA">
        <w:rPr>
          <w:rFonts w:ascii="華康童童體(P)" w:eastAsia="華康童童體(P)" w:hint="eastAsia"/>
          <w:color w:val="00B0F0"/>
          <w:sz w:val="32"/>
          <w:szCs w:val="32"/>
        </w:rPr>
        <w:t>現今水蘊草已可</w:t>
      </w:r>
      <w:bookmarkStart w:id="0" w:name="_GoBack"/>
      <w:bookmarkEnd w:id="0"/>
      <w:r w:rsidR="00C678AA" w:rsidRPr="00C678AA">
        <w:rPr>
          <w:rFonts w:ascii="華康童童體(P)" w:eastAsia="華康童童體(P)" w:hint="eastAsia"/>
          <w:color w:val="00B0F0"/>
          <w:sz w:val="32"/>
          <w:szCs w:val="32"/>
        </w:rPr>
        <w:t>供人養殖，栽培方式多半是利用的無性生殖</w:t>
      </w:r>
    </w:p>
    <w:p w:rsidR="00B76902" w:rsidRPr="00B76902" w:rsidRDefault="00B76902" w:rsidP="00945DC2">
      <w:pPr>
        <w:rPr>
          <w:rFonts w:ascii="華康童童體(P)" w:eastAsia="華康童童體(P)" w:hint="eastAsia"/>
          <w:color w:val="FF6699"/>
          <w:sz w:val="36"/>
          <w:szCs w:val="36"/>
        </w:rPr>
      </w:pPr>
    </w:p>
    <w:p w:rsidR="00C678AA" w:rsidRPr="00B76902" w:rsidRDefault="00C678AA">
      <w:pPr>
        <w:rPr>
          <w:rFonts w:ascii="華康童童體(P)" w:eastAsia="華康童童體(P)"/>
          <w:color w:val="00B0F0"/>
          <w:sz w:val="32"/>
          <w:szCs w:val="32"/>
        </w:rPr>
      </w:pPr>
    </w:p>
    <w:sectPr w:rsidR="00C678AA" w:rsidRPr="00B769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童童體(P)">
    <w:panose1 w:val="040B0300000000000000"/>
    <w:charset w:val="88"/>
    <w:family w:val="decorative"/>
    <w:pitch w:val="variable"/>
    <w:sig w:usb0="80000001" w:usb1="28091800" w:usb2="00000016" w:usb3="00000000" w:csb0="00100000" w:csb1="00000000"/>
  </w:font>
  <w:font w:name="華康少女文字W5">
    <w:panose1 w:val="040F0509000000000000"/>
    <w:charset w:val="88"/>
    <w:family w:val="decorative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F3"/>
    <w:rsid w:val="000E7C96"/>
    <w:rsid w:val="004B066B"/>
    <w:rsid w:val="00945DC2"/>
    <w:rsid w:val="00AB11F3"/>
    <w:rsid w:val="00B76902"/>
    <w:rsid w:val="00BD568F"/>
    <w:rsid w:val="00C678AA"/>
    <w:rsid w:val="00CE058E"/>
    <w:rsid w:val="00D936A5"/>
    <w:rsid w:val="00DF362F"/>
    <w:rsid w:val="00F6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."/>
  <w:listSeparator w:val=","/>
  <w15:chartTrackingRefBased/>
  <w15:docId w15:val="{955DACA7-689D-4491-9991-C2F57102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149AB-DD09-4E8F-A85A-DAE11071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dcterms:created xsi:type="dcterms:W3CDTF">2020-09-15T05:34:00Z</dcterms:created>
  <dcterms:modified xsi:type="dcterms:W3CDTF">2020-10-13T05:46:00Z</dcterms:modified>
</cp:coreProperties>
</file>